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BC8058">
      <w:pPr>
        <w:pStyle w:val="2"/>
        <w:numPr>
          <w:ilvl w:val="0"/>
          <w:numId w:val="0"/>
        </w:numPr>
        <w:rPr>
          <w:rFonts w:hint="default" w:ascii="黑体" w:hAnsi="黑体" w:eastAsia="黑体" w:cs="黑体"/>
          <w:b/>
          <w:bCs/>
          <w:color w:val="auto"/>
          <w:sz w:val="28"/>
          <w:szCs w:val="28"/>
          <w:highlight w:val="none"/>
          <w:lang w:val="en-US" w:eastAsia="zh-CN" w:bidi="zh-CN"/>
        </w:rPr>
      </w:pPr>
      <w:bookmarkStart w:id="2" w:name="_GoBack"/>
      <w:r>
        <w:rPr>
          <w:rFonts w:hint="eastAsia" w:ascii="黑体" w:hAnsi="黑体" w:eastAsia="黑体" w:cs="黑体"/>
          <w:b/>
          <w:bCs/>
          <w:color w:val="auto"/>
          <w:sz w:val="28"/>
          <w:szCs w:val="28"/>
          <w:highlight w:val="none"/>
          <w:lang w:val="en-US" w:eastAsia="zh-CN" w:bidi="zh-CN"/>
        </w:rPr>
        <w:t>附件5</w:t>
      </w:r>
    </w:p>
    <w:p w14:paraId="043043AA">
      <w:pPr>
        <w:pStyle w:val="3"/>
        <w:tabs>
          <w:tab w:val="left" w:pos="1286"/>
        </w:tabs>
        <w:snapToGrid w:val="0"/>
        <w:spacing w:before="21" w:line="240" w:lineRule="auto"/>
        <w:textAlignment w:val="baseline"/>
        <w:rPr>
          <w:rFonts w:ascii="黑体" w:hAnsi="黑体" w:eastAsia="黑体" w:cs="黑体"/>
          <w:color w:val="auto"/>
          <w:highlight w:val="none"/>
        </w:rPr>
      </w:pPr>
      <w:bookmarkStart w:id="0" w:name="_Toc23554"/>
      <w:bookmarkStart w:id="1" w:name="_Toc4464"/>
      <w:r>
        <w:rPr>
          <w:rFonts w:hint="eastAsia" w:ascii="黑体" w:hAnsi="黑体" w:eastAsia="黑体" w:cs="黑体"/>
          <w:color w:val="auto"/>
          <w:sz w:val="40"/>
          <w:szCs w:val="40"/>
          <w:highlight w:val="none"/>
          <w:lang w:val="en-US"/>
        </w:rPr>
        <w:t xml:space="preserve"> </w:t>
      </w:r>
      <w:r>
        <w:rPr>
          <w:rFonts w:hint="eastAsia" w:ascii="黑体" w:hAnsi="黑体" w:eastAsia="黑体" w:cs="黑体"/>
          <w:color w:val="auto"/>
          <w:sz w:val="40"/>
          <w:szCs w:val="40"/>
          <w:highlight w:val="none"/>
        </w:rPr>
        <w:t>合同条款</w:t>
      </w:r>
      <w:bookmarkEnd w:id="0"/>
      <w:bookmarkEnd w:id="1"/>
    </w:p>
    <w:bookmarkEnd w:id="2"/>
    <w:p w14:paraId="17C49962">
      <w:pPr>
        <w:snapToGrid w:val="0"/>
        <w:jc w:val="center"/>
        <w:textAlignment w:val="baseline"/>
        <w:rPr>
          <w:color w:val="auto"/>
          <w:sz w:val="28"/>
          <w:szCs w:val="28"/>
          <w:highlight w:val="none"/>
        </w:rPr>
      </w:pPr>
      <w:r>
        <w:rPr>
          <w:rFonts w:hint="eastAsia"/>
          <w:color w:val="auto"/>
          <w:sz w:val="28"/>
          <w:szCs w:val="28"/>
          <w:highlight w:val="none"/>
        </w:rPr>
        <w:t>（参考格式）</w:t>
      </w:r>
    </w:p>
    <w:p w14:paraId="34F7FFBE">
      <w:pPr>
        <w:widowControl/>
        <w:snapToGrid w:val="0"/>
        <w:spacing w:line="360" w:lineRule="auto"/>
        <w:ind w:firstLine="482" w:firstLineChars="200"/>
        <w:jc w:val="both"/>
        <w:textAlignment w:val="baseline"/>
        <w:rPr>
          <w:b/>
          <w:color w:val="auto"/>
          <w:sz w:val="24"/>
          <w:szCs w:val="24"/>
          <w:highlight w:val="none"/>
          <w:lang w:val="en-US"/>
        </w:rPr>
      </w:pPr>
    </w:p>
    <w:p w14:paraId="69FB1700">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买方（采购人）： </w:t>
      </w:r>
    </w:p>
    <w:p w14:paraId="3AB9674E">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卖方（中标人）： </w:t>
      </w:r>
    </w:p>
    <w:p w14:paraId="77B8DB58">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甲乙双方根据《中华人民共和国民法典》及“ 项目（项目编号： ）”的招标文件、乙方的投标文件及投标承诺，经双方协商一致，共同达成如下条款：</w:t>
      </w:r>
    </w:p>
    <w:p w14:paraId="5B9D3AC6">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一、 标的 </w:t>
      </w:r>
    </w:p>
    <w:p w14:paraId="46A7F021">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1.以招标文件采购需求及中标人投标文件中所投产品及服务内容为准。 </w:t>
      </w:r>
    </w:p>
    <w:p w14:paraId="6CE99FB6">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2.合同总价是中标人参与投标时所投总价，包括项目所需</w:t>
      </w:r>
      <w:r>
        <w:rPr>
          <w:rFonts w:hint="eastAsia"/>
          <w:color w:val="auto"/>
          <w:sz w:val="24"/>
          <w:szCs w:val="24"/>
          <w:highlight w:val="none"/>
          <w:lang w:val="en-US" w:eastAsia="zh-CN"/>
        </w:rPr>
        <w:t>设计、</w:t>
      </w:r>
      <w:r>
        <w:rPr>
          <w:rFonts w:hint="eastAsia"/>
          <w:color w:val="auto"/>
          <w:sz w:val="24"/>
          <w:szCs w:val="24"/>
          <w:highlight w:val="none"/>
          <w:lang w:val="en-US"/>
        </w:rPr>
        <w:t>生产、包装、验收、运输、质量保证、售后服务及相关服务、雇员费用、全额含税发票、合同实施过程中的应预见或不可预见费用等。</w:t>
      </w:r>
    </w:p>
    <w:p w14:paraId="5A08E22E">
      <w:pPr>
        <w:widowControl/>
        <w:spacing w:line="360" w:lineRule="auto"/>
        <w:ind w:firstLine="482" w:firstLineChars="200"/>
        <w:jc w:val="both"/>
        <w:rPr>
          <w:color w:val="auto"/>
          <w:sz w:val="24"/>
          <w:szCs w:val="24"/>
          <w:highlight w:val="none"/>
        </w:rPr>
      </w:pPr>
      <w:r>
        <w:rPr>
          <w:rFonts w:hint="eastAsia"/>
          <w:b/>
          <w:color w:val="auto"/>
          <w:sz w:val="24"/>
          <w:szCs w:val="24"/>
          <w:highlight w:val="none"/>
          <w:lang w:val="en-US"/>
        </w:rPr>
        <w:t>二、</w:t>
      </w:r>
      <w:r>
        <w:rPr>
          <w:rFonts w:hint="eastAsia"/>
          <w:b/>
          <w:bCs/>
          <w:color w:val="auto"/>
          <w:sz w:val="24"/>
          <w:szCs w:val="24"/>
          <w:highlight w:val="none"/>
          <w:lang w:val="en-US"/>
        </w:rPr>
        <w:t>名称、数量及金额</w:t>
      </w:r>
      <w:r>
        <w:rPr>
          <w:rFonts w:hint="eastAsia"/>
          <w:color w:val="auto"/>
          <w:sz w:val="24"/>
          <w:szCs w:val="24"/>
          <w:highlight w:val="none"/>
          <w:lang w:val="en-US"/>
        </w:rPr>
        <w:t xml:space="preserve"> </w:t>
      </w:r>
    </w:p>
    <w:p w14:paraId="406A3638">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eastAsia="zh-CN"/>
        </w:rPr>
        <w:t>1.</w:t>
      </w:r>
      <w:r>
        <w:rPr>
          <w:rFonts w:hint="eastAsia"/>
          <w:color w:val="auto"/>
          <w:sz w:val="24"/>
          <w:szCs w:val="24"/>
          <w:highlight w:val="none"/>
          <w:lang w:val="en-US"/>
        </w:rPr>
        <w:t xml:space="preserve">订购商品明细： </w:t>
      </w:r>
    </w:p>
    <w:p w14:paraId="351C20B3">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产品名称、型号、规格、颜色、数量、单价详见报价表。 </w:t>
      </w:r>
    </w:p>
    <w:p w14:paraId="510C3AB6">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eastAsia="zh-CN"/>
        </w:rPr>
        <w:t>2.</w:t>
      </w:r>
      <w:r>
        <w:rPr>
          <w:rFonts w:hint="eastAsia"/>
          <w:color w:val="auto"/>
          <w:sz w:val="24"/>
          <w:szCs w:val="24"/>
          <w:highlight w:val="none"/>
          <w:lang w:val="en-US"/>
        </w:rPr>
        <w:t>订购合同总额为：¥</w:t>
      </w:r>
      <w:r>
        <w:rPr>
          <w:rFonts w:hint="eastAsia"/>
          <w:color w:val="auto"/>
          <w:sz w:val="24"/>
          <w:szCs w:val="24"/>
          <w:highlight w:val="none"/>
          <w:u w:val="single"/>
          <w:lang w:val="en-US"/>
        </w:rPr>
        <w:t xml:space="preserve">                （大写：人民币            ）</w:t>
      </w:r>
      <w:r>
        <w:rPr>
          <w:rFonts w:hint="eastAsia"/>
          <w:color w:val="auto"/>
          <w:sz w:val="24"/>
          <w:szCs w:val="24"/>
          <w:highlight w:val="none"/>
          <w:lang w:val="en-US"/>
        </w:rPr>
        <w:t xml:space="preserve">。 </w:t>
      </w:r>
    </w:p>
    <w:p w14:paraId="715F2193">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三、交货期要求 </w:t>
      </w:r>
    </w:p>
    <w:p w14:paraId="5730B2C8">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1.交货地点： 甲方指定地点 。 </w:t>
      </w:r>
    </w:p>
    <w:p w14:paraId="3905CDD2">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2.交货方式：运输。 </w:t>
      </w:r>
    </w:p>
    <w:p w14:paraId="47E639C3">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3.交货时间（工期）：</w:t>
      </w:r>
      <w:r>
        <w:rPr>
          <w:rFonts w:hint="eastAsia"/>
          <w:color w:val="auto"/>
          <w:sz w:val="24"/>
          <w:szCs w:val="24"/>
          <w:highlight w:val="none"/>
          <w:lang w:val="en-US" w:eastAsia="zh-CN"/>
        </w:rPr>
        <w:t>样品经买方确认后15个日历天</w:t>
      </w:r>
      <w:r>
        <w:rPr>
          <w:rFonts w:hint="eastAsia"/>
          <w:color w:val="auto"/>
          <w:sz w:val="24"/>
          <w:szCs w:val="24"/>
          <w:highlight w:val="none"/>
          <w:lang w:val="en-US"/>
        </w:rPr>
        <w:t xml:space="preserve">。 </w:t>
      </w:r>
    </w:p>
    <w:p w14:paraId="02557B9B">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4.乙方交货时须同时提供货物清单。 </w:t>
      </w:r>
    </w:p>
    <w:p w14:paraId="4F20DB2C">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四、包装、装运和运输 </w:t>
      </w:r>
    </w:p>
    <w:p w14:paraId="6A850607">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1.包装必须与运输方式相适应，乙方负责确定包装方式；由于不适当的包装造成货物在运输过程中有任何损坏由乙方负责。 </w:t>
      </w:r>
    </w:p>
    <w:p w14:paraId="1917DAE3">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2.包装费、运费已包含在合同总价内。</w:t>
      </w:r>
    </w:p>
    <w:p w14:paraId="778424D2">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五、保险 </w:t>
      </w:r>
    </w:p>
    <w:p w14:paraId="679940AE">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货物到达交货地点之前的所有保险费用和派往甲方进行服务人员的人身险和其他有关险种，以及有关费用由乙方负责。</w:t>
      </w:r>
    </w:p>
    <w:p w14:paraId="3B7BF4AD">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六、付款方式</w:t>
      </w:r>
    </w:p>
    <w:p w14:paraId="1B25D0A9">
      <w:pPr>
        <w:widowControl/>
        <w:snapToGrid w:val="0"/>
        <w:spacing w:line="360" w:lineRule="auto"/>
        <w:ind w:firstLine="720" w:firstLineChars="300"/>
        <w:jc w:val="both"/>
        <w:textAlignment w:val="baseline"/>
        <w:rPr>
          <w:color w:val="auto"/>
          <w:sz w:val="24"/>
          <w:szCs w:val="24"/>
          <w:highlight w:val="none"/>
          <w:lang w:val="en-US"/>
        </w:rPr>
      </w:pPr>
      <w:r>
        <w:rPr>
          <w:rFonts w:hint="eastAsia"/>
          <w:color w:val="auto"/>
          <w:sz w:val="24"/>
          <w:szCs w:val="24"/>
          <w:highlight w:val="none"/>
          <w:lang w:val="en-US" w:eastAsia="zh-CN"/>
        </w:rPr>
        <w:t>乙方商品设计文件经甲方签字盖章确认后七日内，甲方支付乙方合同金额的30%，乙方依据合同约定时间将商品送至甲方指定地点并经甲方验收合格后七日内，甲方支付乙方合同金额的70%，</w:t>
      </w:r>
      <w:r>
        <w:rPr>
          <w:rFonts w:hint="eastAsia"/>
          <w:color w:val="auto"/>
          <w:sz w:val="24"/>
          <w:szCs w:val="24"/>
          <w:highlight w:val="none"/>
          <w:lang w:val="en-US"/>
        </w:rPr>
        <w:t>结算金额以结算文件上甲方盖章确认的数据为准。</w:t>
      </w:r>
      <w:r>
        <w:rPr>
          <w:rFonts w:hint="eastAsia"/>
          <w:color w:val="auto"/>
          <w:sz w:val="24"/>
          <w:szCs w:val="24"/>
          <w:highlight w:val="none"/>
          <w:lang w:val="en-US" w:eastAsia="zh-CN"/>
        </w:rPr>
        <w:t>每次付款前，乙方开具全额增值税专用发票（税率13%）。</w:t>
      </w:r>
    </w:p>
    <w:p w14:paraId="65314410">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七、知识产权 </w:t>
      </w:r>
    </w:p>
    <w:p w14:paraId="6CDB4465">
      <w:pPr>
        <w:widowControl/>
        <w:snapToGrid w:val="0"/>
        <w:spacing w:line="360" w:lineRule="auto"/>
        <w:ind w:firstLine="480" w:firstLineChars="200"/>
        <w:jc w:val="both"/>
        <w:textAlignment w:val="baseline"/>
        <w:rPr>
          <w:rFonts w:hint="eastAsia"/>
          <w:color w:val="auto"/>
          <w:sz w:val="24"/>
          <w:szCs w:val="24"/>
          <w:highlight w:val="none"/>
          <w:lang w:val="en-US"/>
        </w:rPr>
      </w:pPr>
      <w:r>
        <w:rPr>
          <w:rFonts w:hint="eastAsia"/>
          <w:color w:val="auto"/>
          <w:sz w:val="24"/>
          <w:szCs w:val="24"/>
          <w:highlight w:val="none"/>
          <w:lang w:val="en-US" w:eastAsia="zh-CN"/>
        </w:rPr>
        <w:t>1.</w:t>
      </w:r>
      <w:r>
        <w:rPr>
          <w:rFonts w:hint="eastAsia"/>
          <w:color w:val="auto"/>
          <w:sz w:val="24"/>
          <w:szCs w:val="24"/>
          <w:highlight w:val="none"/>
          <w:lang w:val="en-US"/>
        </w:rPr>
        <w:t>乙方应保证交付给甲方的货物不侵犯任何第三方的合法权益</w:t>
      </w:r>
      <w:r>
        <w:rPr>
          <w:rFonts w:hint="eastAsia"/>
          <w:color w:val="auto"/>
          <w:sz w:val="24"/>
          <w:szCs w:val="24"/>
          <w:highlight w:val="none"/>
          <w:lang w:val="en-US" w:eastAsia="zh-CN"/>
        </w:rPr>
        <w:t>，</w:t>
      </w:r>
      <w:r>
        <w:rPr>
          <w:rFonts w:hint="eastAsia"/>
          <w:color w:val="auto"/>
          <w:sz w:val="24"/>
          <w:szCs w:val="24"/>
          <w:highlight w:val="none"/>
          <w:lang w:val="en-US"/>
        </w:rPr>
        <w:t>甲方在中华人民共和国范围内合法使用乙方所提供的货物时，免受任何第三方提出的侵犯其专利权或其他知识产权的纠纷。如发生此类纠纷，由乙方承担一切责任并赔偿甲方的损失。</w:t>
      </w:r>
    </w:p>
    <w:p w14:paraId="5A1ADB95">
      <w:pPr>
        <w:pStyle w:val="2"/>
        <w:rPr>
          <w:rFonts w:hint="default" w:eastAsia="宋体"/>
          <w:lang w:val="en-US" w:eastAsia="zh-CN"/>
        </w:rPr>
      </w:pPr>
      <w:r>
        <w:rPr>
          <w:rFonts w:hint="eastAsia"/>
          <w:color w:val="auto"/>
          <w:sz w:val="24"/>
          <w:szCs w:val="24"/>
          <w:highlight w:val="none"/>
          <w:lang w:val="en-US" w:eastAsia="zh-CN"/>
        </w:rPr>
        <w:t>2.乙方为甲方定制设计的文创产品的知识产权归甲方所有，付清本合同所有款项后的设计源文件等相关设计资料归甲方所有。</w:t>
      </w:r>
    </w:p>
    <w:p w14:paraId="31A515A4">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八、 售后服务 </w:t>
      </w:r>
    </w:p>
    <w:p w14:paraId="41D49884">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售后服务承诺以中标人投标文件为准。</w:t>
      </w:r>
    </w:p>
    <w:p w14:paraId="4CD70FCA">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九、违约责任与赔偿损失 </w:t>
      </w:r>
    </w:p>
    <w:p w14:paraId="2BFB4F1F">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1.乙方无正当理由未能按本合同规定的交货时间交付货物的，乙方需承担违约责任，每迟延一日，乙方向甲方承担</w:t>
      </w:r>
      <w:r>
        <w:rPr>
          <w:rFonts w:hint="eastAsia"/>
          <w:color w:val="auto"/>
          <w:sz w:val="24"/>
          <w:szCs w:val="24"/>
          <w:highlight w:val="none"/>
          <w:u w:val="single"/>
          <w:lang w:val="en-US"/>
        </w:rPr>
        <w:t>100</w:t>
      </w:r>
      <w:r>
        <w:rPr>
          <w:rFonts w:hint="eastAsia"/>
          <w:color w:val="auto"/>
          <w:sz w:val="24"/>
          <w:szCs w:val="24"/>
          <w:highlight w:val="none"/>
          <w:u w:val="single"/>
          <w:lang w:val="en-US" w:eastAsia="zh-CN"/>
        </w:rPr>
        <w:t>0</w:t>
      </w:r>
      <w:r>
        <w:rPr>
          <w:rFonts w:hint="eastAsia"/>
          <w:color w:val="auto"/>
          <w:sz w:val="24"/>
          <w:szCs w:val="24"/>
          <w:highlight w:val="none"/>
          <w:lang w:val="en-US"/>
        </w:rPr>
        <w:t>元/天的违约金，并承担由此造成的一切损失。乙方延期交货达十天时，甲方有权解除合同，乙方承担由此造成的一切损失，并向甲方支付合同总价款</w:t>
      </w:r>
      <w:r>
        <w:rPr>
          <w:rFonts w:hint="eastAsia"/>
          <w:color w:val="auto"/>
          <w:sz w:val="24"/>
          <w:szCs w:val="24"/>
          <w:highlight w:val="none"/>
          <w:lang w:val="en-US" w:eastAsia="zh-CN"/>
        </w:rPr>
        <w:t>5</w:t>
      </w:r>
      <w:r>
        <w:rPr>
          <w:rFonts w:hint="eastAsia"/>
          <w:color w:val="auto"/>
          <w:sz w:val="24"/>
          <w:szCs w:val="24"/>
          <w:highlight w:val="none"/>
          <w:lang w:val="en-US"/>
        </w:rPr>
        <w:t>%的违约金。</w:t>
      </w:r>
    </w:p>
    <w:p w14:paraId="403BDE71">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乙方交付的货物、提供的服务不符合招标文件、投标文件或本合同规定的或因运输、包装不当及其他原因造成标的受损的，乙方应无条件包换或包退，并承担由此发生的一切损失；如因此而造成迟延履行，乙方应按本合同延迟规定承担违约责任。甲方亦有权直接选择拒收并解除合同，乙方向甲方支付合同总价款</w:t>
      </w:r>
      <w:r>
        <w:rPr>
          <w:rFonts w:hint="eastAsia"/>
          <w:color w:val="auto"/>
          <w:sz w:val="24"/>
          <w:szCs w:val="24"/>
          <w:highlight w:val="none"/>
          <w:lang w:val="en-US" w:eastAsia="zh-CN"/>
        </w:rPr>
        <w:t>5</w:t>
      </w:r>
      <w:r>
        <w:rPr>
          <w:rFonts w:hint="eastAsia"/>
          <w:color w:val="auto"/>
          <w:sz w:val="24"/>
          <w:szCs w:val="24"/>
          <w:highlight w:val="none"/>
          <w:lang w:val="en-US"/>
        </w:rPr>
        <w:t xml:space="preserve">%的违约金，并承担由此发生的一切费用及损失。 </w:t>
      </w:r>
    </w:p>
    <w:p w14:paraId="5BDFACBB">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3.甲方无正当理由拒收货物/接受服务，到期拒付货物/服务款项的，逾期付款，甲方需承担违约责任</w:t>
      </w:r>
      <w:r>
        <w:rPr>
          <w:rFonts w:hint="eastAsia"/>
          <w:color w:val="auto"/>
          <w:sz w:val="24"/>
          <w:szCs w:val="24"/>
          <w:highlight w:val="none"/>
          <w:lang w:val="en-US" w:eastAsia="zh-CN"/>
        </w:rPr>
        <w:t>，按照本合同第九条第1项同等计算违约金。</w:t>
      </w:r>
      <w:r>
        <w:rPr>
          <w:rFonts w:hint="eastAsia"/>
          <w:color w:val="auto"/>
          <w:sz w:val="24"/>
          <w:szCs w:val="24"/>
          <w:highlight w:val="none"/>
          <w:lang w:val="en-US"/>
        </w:rPr>
        <w:t xml:space="preserve"> </w:t>
      </w:r>
    </w:p>
    <w:p w14:paraId="325BFA47">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4.</w:t>
      </w:r>
      <w:r>
        <w:rPr>
          <w:rFonts w:hint="eastAsia"/>
          <w:color w:val="auto"/>
          <w:sz w:val="24"/>
          <w:szCs w:val="24"/>
          <w:highlight w:val="none"/>
          <w:lang w:val="en-US" w:eastAsia="zh-CN"/>
        </w:rPr>
        <w:t>其他</w:t>
      </w:r>
      <w:r>
        <w:rPr>
          <w:rFonts w:hint="eastAsia"/>
          <w:color w:val="auto"/>
          <w:sz w:val="24"/>
          <w:szCs w:val="24"/>
          <w:highlight w:val="none"/>
          <w:lang w:val="en-US"/>
        </w:rPr>
        <w:t>违约责任按《中华人民共和国民法典》处理。</w:t>
      </w:r>
    </w:p>
    <w:p w14:paraId="68C6D502">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十、不可抗力 </w:t>
      </w:r>
    </w:p>
    <w:p w14:paraId="288098A5">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1.由于政府政策、自然灾害等不可预见、不可避免、不可克服等不可抗力的原因，一方不能履行合同义务的，应当在不可抗力发生之日起 14 天内以书面形式通知对方，证明不可抗力事件的存在。 </w:t>
      </w:r>
    </w:p>
    <w:p w14:paraId="69D37F73">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2.不可抗力事件发生后，甲方和乙方应当积极寻求以合理的方式履行本合同。如不可抗力无法消除，致使合同目的无法实现的，双方均有权解除合同，且均不互相索赔。 </w:t>
      </w:r>
    </w:p>
    <w:p w14:paraId="6E2CFBA2">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十一、争议解决方式 </w:t>
      </w:r>
    </w:p>
    <w:p w14:paraId="26BA0399">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1.因货物的质量问题发生争议，由项目所在地质量技术监督局或其指定的质量鉴定单位进行质量鉴定。质量鉴定所产生的鉴定费均由乙方承担。 </w:t>
      </w:r>
    </w:p>
    <w:p w14:paraId="4D0CF5A9">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2.本合同发生争议，由双方协商或由监督管理部门调解解决，协商或调解不成时可以向甲方所在地的人民法院提起诉讼（在诉讼期间，除有争议部分的事项外，合同其他部分仍应继续履行）。 </w:t>
      </w:r>
    </w:p>
    <w:p w14:paraId="46B74648">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十二、合同生效 </w:t>
      </w:r>
    </w:p>
    <w:p w14:paraId="106834FA">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本合同经双方法定代表人或委托代理人签字并加盖合同专用章或公章之日起生效，合同生效日期以最后一个签字日为准。</w:t>
      </w:r>
    </w:p>
    <w:p w14:paraId="01D2B400">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十三、其他 </w:t>
      </w:r>
    </w:p>
    <w:p w14:paraId="45DB2360">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1.本合同一式陆份，甲方执肆份，乙方执贰份，具有同等法律效力。 </w:t>
      </w:r>
    </w:p>
    <w:p w14:paraId="581C66CF">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2.本合同未尽事宜，由双方协商处理。 </w:t>
      </w:r>
    </w:p>
    <w:p w14:paraId="61610AD9">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3.除甲方事先书面同意外，乙方不得部分或全部转让其应履行的合同项下的义务。</w:t>
      </w:r>
    </w:p>
    <w:p w14:paraId="59F5FCE5">
      <w:pPr>
        <w:pStyle w:val="6"/>
        <w:spacing w:line="360" w:lineRule="auto"/>
        <w:ind w:firstLine="480" w:firstLineChars="200"/>
        <w:textAlignment w:val="baseline"/>
        <w:rPr>
          <w:color w:val="auto"/>
          <w:sz w:val="24"/>
          <w:szCs w:val="24"/>
          <w:highlight w:val="none"/>
        </w:rPr>
      </w:pPr>
    </w:p>
    <w:p w14:paraId="168AF12E">
      <w:pPr>
        <w:pStyle w:val="6"/>
        <w:spacing w:line="360" w:lineRule="auto"/>
        <w:ind w:firstLine="480" w:firstLineChars="200"/>
        <w:textAlignment w:val="baseline"/>
        <w:rPr>
          <w:color w:val="auto"/>
          <w:sz w:val="24"/>
          <w:szCs w:val="24"/>
          <w:highlight w:val="none"/>
        </w:rPr>
      </w:pPr>
    </w:p>
    <w:p w14:paraId="2EA2CA8B">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甲方（盖章）：                      乙方（盖章）： </w:t>
      </w:r>
    </w:p>
    <w:p w14:paraId="36675228">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地址：                              地址： </w:t>
      </w:r>
    </w:p>
    <w:p w14:paraId="044040B1">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法定代表人：                        法定代表人： </w:t>
      </w:r>
    </w:p>
    <w:p w14:paraId="70B4C712">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委托代理人：                        委托代理人： </w:t>
      </w:r>
    </w:p>
    <w:p w14:paraId="09C9E171">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电话：                              电话： </w:t>
      </w:r>
    </w:p>
    <w:p w14:paraId="3EA1C92C">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传真：                              传真： </w:t>
      </w:r>
    </w:p>
    <w:p w14:paraId="55BC3D5C">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开户银行：                          开户银行： </w:t>
      </w:r>
    </w:p>
    <w:p w14:paraId="5A2273BA">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账号：                              账号： </w:t>
      </w:r>
    </w:p>
    <w:p w14:paraId="1A8A7353">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签约时间： 年 月 日                  签约时间： 年 月 日</w:t>
      </w:r>
    </w:p>
    <w:p w14:paraId="29A707FB">
      <w:pPr>
        <w:pStyle w:val="2"/>
        <w:numPr>
          <w:ilvl w:val="0"/>
          <w:numId w:val="0"/>
        </w:numPr>
      </w:pPr>
    </w:p>
    <w:p w14:paraId="4EB948EF"/>
    <w:sectPr>
      <w:headerReference r:id="rId3" w:type="default"/>
      <w:footerReference r:id="rId4" w:type="default"/>
      <w:pgSz w:w="11900" w:h="16840"/>
      <w:pgMar w:top="1321" w:right="1179" w:bottom="1219" w:left="1219" w:header="879" w:footer="1020" w:gutter="0"/>
      <w:pgNumType w:fmt="decimal"/>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2CCE3">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24B941">
                          <w:pPr>
                            <w:pStyle w:val="5"/>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0724B941">
                    <w:pPr>
                      <w:pStyle w:val="5"/>
                    </w:pPr>
                    <w:r>
                      <w:fldChar w:fldCharType="begin"/>
                    </w:r>
                    <w:r>
                      <w:instrText xml:space="preserve"> PAGE  \* MERGEFORMAT </w:instrText>
                    </w:r>
                    <w:r>
                      <w:fldChar w:fldCharType="separate"/>
                    </w:r>
                    <w:r>
                      <w:t>32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A66C4">
    <w:pPr>
      <w:pStyle w:val="4"/>
      <w:spacing w:line="14" w:lineRule="auto"/>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F96ACD"/>
    <w:rsid w:val="20F96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line="542" w:lineRule="exact"/>
      <w:ind w:right="34"/>
      <w:jc w:val="center"/>
      <w:outlineLvl w:val="0"/>
    </w:pPr>
    <w:rPr>
      <w:rFonts w:ascii="微软雅黑" w:hAnsi="微软雅黑" w:eastAsia="微软雅黑" w:cs="微软雅黑"/>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sz w:val="21"/>
    </w:rPr>
  </w:style>
  <w:style w:type="paragraph" w:styleId="4">
    <w:name w:val="Body Text"/>
    <w:basedOn w:val="1"/>
    <w:qFormat/>
    <w:uiPriority w:val="1"/>
    <w:rPr>
      <w:sz w:val="21"/>
      <w:szCs w:val="21"/>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2025-09-04T06:19:00Z</dcterms:created>
  <dc:creator>H</dc:creator>
  <cp:lastModifiedBy>H</cp:lastModifiedBy>
  <dcterms:modified xsi:type="dcterms:W3CDTF">2025-09-04T06:19:28Z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C1211E9554CD4F0DB6560F22C8BECF5E_11</vt:lpwstr>
  </property>
  <property fmtid="{D5CDD505-2E9C-101B-9397-08002B2CF9AE}" pid="4" name="KSOTemplateDocerSaveRecord">
    <vt:lpwstr>eyJoZGlkIjoiZDY2N2M0YWJhYWY5NDc5MzU2M2Q0ZDU4ZTBkMzMxNWQiLCJ1c2VySWQiOiI3MTE0MTYwMDcifQ==</vt:lpwstr>
  </property>
</Properties>
</file>